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998F" w14:textId="51CF5644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it-IT"/>
          <w14:ligatures w14:val="none"/>
        </w:rPr>
        <w:t xml:space="preserve">COMUNICATO STAMPA DEL GRUPPO DI INTERVENTO GIURIDICO (GRIG) DEL 23 MAGGIO 2023 </w:t>
      </w:r>
    </w:p>
    <w:p w14:paraId="71113385" w14:textId="77777777" w:rsidR="007C60A5" w:rsidRDefault="007C60A5" w:rsidP="007C60A5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</w:pPr>
    </w:p>
    <w:p w14:paraId="349BB28E" w14:textId="616AE8FA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L’associazione ecologista Gruppo d’Intervento Giuridico (</w:t>
      </w:r>
      <w:proofErr w:type="spellStart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GrIG</w:t>
      </w:r>
      <w:proofErr w:type="spellEnd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) ha inoltrato (23 maggio 2023) un ulteriore atto di intervento con “osservazioni” nel </w:t>
      </w:r>
      <w:hyperlink r:id="rId4" w:tgtFrame="_blank" w:history="1"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>procedimento di valutazione di impatto ambientale (V.I.A.)</w:t>
        </w:r>
      </w:hyperlink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 relativo al </w:t>
      </w:r>
      <w:hyperlink r:id="rId5" w:tgtFrame="_blank" w:history="1"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>progetto di realizzazione di una centrale eolica denominata “Parco eolico Tuscania”</w:t>
        </w:r>
      </w:hyperlink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, da parte della WPD S. Giuliano s.r.l., in località </w:t>
      </w:r>
      <w:r w:rsidRPr="007C60A5">
        <w:rPr>
          <w:rFonts w:ascii="Arial" w:eastAsia="Times New Roman" w:hAnsi="Arial" w:cs="Arial"/>
          <w:i/>
          <w:iCs/>
          <w:color w:val="222222"/>
          <w:kern w:val="0"/>
          <w:sz w:val="22"/>
          <w:szCs w:val="22"/>
          <w:lang w:eastAsia="it-IT"/>
          <w14:ligatures w14:val="none"/>
        </w:rPr>
        <w:t>Mandria-Casaletto </w:t>
      </w: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e </w:t>
      </w:r>
      <w:r w:rsidRPr="007C60A5">
        <w:rPr>
          <w:rFonts w:ascii="Arial" w:eastAsia="Times New Roman" w:hAnsi="Arial" w:cs="Arial"/>
          <w:i/>
          <w:iCs/>
          <w:color w:val="222222"/>
          <w:kern w:val="0"/>
          <w:sz w:val="22"/>
          <w:szCs w:val="22"/>
          <w:lang w:eastAsia="it-IT"/>
          <w14:ligatures w14:val="none"/>
        </w:rPr>
        <w:t>San Giuliano</w:t>
      </w: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, nei Comuni di Tuscania e di Arlena di Castro (VT).</w:t>
      </w:r>
    </w:p>
    <w:p w14:paraId="541DD397" w14:textId="77777777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Il progetto di centrale eolica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prevede 10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pale eoliche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alte ben 250 metri (fra le più alte in Europa) in località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Mandria-Casaletto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, a nord del centro urbano di Tuscania, e altre 6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pale eoliche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in località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San Giuliano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, a sud della cittadina della Tuscia, con aerogeneratori da 5,625 MW, potenza complessiva pari a 90 MW, collegati tra di loro mediante un cavidotto in media tensione interrato e una stazione di utenza ubicata nel territorio di Arlena di Castro (VT), in località </w:t>
      </w:r>
      <w:proofErr w:type="spellStart"/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Cioccatello</w:t>
      </w:r>
      <w:proofErr w:type="spellEnd"/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.</w:t>
      </w:r>
    </w:p>
    <w:p w14:paraId="174B382D" w14:textId="77777777" w:rsidR="007C60A5" w:rsidRPr="007C60A5" w:rsidRDefault="00000000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hyperlink r:id="rId6" w:tgtFrame="_blank" w:history="1">
        <w:proofErr w:type="gramStart"/>
        <w:r w:rsidR="007C60A5"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>In precedenza</w:t>
        </w:r>
        <w:proofErr w:type="gramEnd"/>
      </w:hyperlink>
      <w:r w:rsidR="007C60A5"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, dopo l’apertura del procedimento di V.I.A. (3 agosto 2020), il </w:t>
      </w:r>
      <w:proofErr w:type="spellStart"/>
      <w:r w:rsidR="007C60A5"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GrIG</w:t>
      </w:r>
      <w:proofErr w:type="spellEnd"/>
      <w:r w:rsidR="007C60A5"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aveva già inoltrato all’allora Ministero dell’Ambiente (oggi Ministero della Transizione Ecologica) due atti di intervento nel procedimento con “osservazioni” (30 settembre, 2 ottobre 2020, 10 novembre 2021), due dei quali </w:t>
      </w:r>
      <w:r w:rsidR="007C60A5"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insieme alle altre Associazioni ambientaliste Italia Nostra, LIPU-</w:t>
      </w:r>
      <w:proofErr w:type="spellStart"/>
      <w:r w:rsidR="007C60A5"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BirdLife</w:t>
      </w:r>
      <w:proofErr w:type="spellEnd"/>
      <w:r w:rsidR="007C60A5"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 xml:space="preserve"> Italia, Forum Ambientalista, Amici della Terra, </w:t>
      </w:r>
      <w:proofErr w:type="spellStart"/>
      <w:r w:rsidR="007C60A5"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Assotuscania</w:t>
      </w:r>
      <w:proofErr w:type="spellEnd"/>
      <w:r w:rsidR="007C60A5"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, Altura, Mountain Wilderness.</w:t>
      </w:r>
    </w:p>
    <w:p w14:paraId="3BB6D48A" w14:textId="77777777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 xml:space="preserve">Ora, dopo la formalizzazione di alcuni documenti integrativi e il conseguente </w:t>
      </w:r>
      <w:proofErr w:type="spellStart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avvìo</w:t>
      </w:r>
      <w:proofErr w:type="spellEnd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 xml:space="preserve"> di una nuova fase di “osservazioni”, il nuovo atto incentrato sulle argomentazioni già in precedenza introdotte nel procedimento di V.I.A. e su alcune nuove considerazioni.</w:t>
      </w:r>
    </w:p>
    <w:p w14:paraId="700482D4" w14:textId="77777777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Infatti, un’ulteriore possibilità di integrazione della documentazione e una conseguente ulteriore ripubblicazione sembrano proprio escluse dalla procedura stabilita dal </w:t>
      </w:r>
      <w:hyperlink r:id="rId7" w:tgtFrame="_blank" w:history="1"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 xml:space="preserve">decreto legislativo n. 152/2006 e </w:t>
        </w:r>
        <w:proofErr w:type="spellStart"/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>s.m.i.</w:t>
        </w:r>
        <w:proofErr w:type="spellEnd"/>
      </w:hyperlink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, in particolare dall’art. 24.</w:t>
      </w:r>
    </w:p>
    <w:p w14:paraId="781BF0E7" w14:textId="77777777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Inoltre, la centrale eolica sorgerebbe ben dentro la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fascia di rispetto </w:t>
      </w: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 xml:space="preserve">estesa tre chilometri dal limite delle zone tutelate con vincolo e/o con vincolo paesaggistico (decreto legislativo n. 42/2004 e </w:t>
      </w:r>
      <w:proofErr w:type="spellStart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s.m.i.</w:t>
      </w:r>
      <w:proofErr w:type="spellEnd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), posta dall’art. 47 del </w:t>
      </w:r>
      <w:hyperlink r:id="rId8" w:tgtFrame="_blank" w:history="1"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>decreto-legge n. 13/2023 (c.d. decreto PNRR) convertito con integrazioni e modificazioni nella legge n. 41/2023</w:t>
        </w:r>
      </w:hyperlink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, in attesa della prevista individuazione delle aree non idonee all’installazione degli impianti di produzione energetica da fonte rinnovabile.</w:t>
      </w:r>
    </w:p>
    <w:p w14:paraId="62F5D1B7" w14:textId="77777777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Presenza, inoltre, di altri analoghi progetti e impianti già realizzati, per cui necessita la valutazione cumulativa degli impatti ambientali, come richiesto da norme e giurisprudenza in materia.</w:t>
      </w:r>
    </w:p>
    <w:p w14:paraId="0B7B46CE" w14:textId="77777777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proofErr w:type="gramStart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Addirittura</w:t>
      </w:r>
      <w:proofErr w:type="gramEnd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 xml:space="preserve"> nei siti interessati dal progetto di centrale eolica sono presenti numerosi terreni appartenenti ai demani civici di Tuscania e di Arlena di Castro.</w:t>
      </w:r>
    </w:p>
    <w:p w14:paraId="135800D7" w14:textId="77777777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Come noto, i terreni a uso civico e i demani civici </w:t>
      </w:r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(</w:t>
      </w:r>
      <w:hyperlink r:id="rId9" w:tgtFrame="_blank" w:history="1"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 xml:space="preserve">legge n. 1766/1927 e </w:t>
        </w:r>
        <w:proofErr w:type="spellStart"/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>s.m.i.</w:t>
        </w:r>
        <w:proofErr w:type="spellEnd"/>
      </w:hyperlink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, </w:t>
      </w:r>
      <w:hyperlink r:id="rId10" w:tgtFrame="_blank" w:history="1"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>legge n. 168/2017</w:t>
        </w:r>
      </w:hyperlink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, </w:t>
      </w:r>
      <w:hyperlink r:id="rId11" w:tgtFrame="_blank" w:history="1"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 xml:space="preserve">regio decreto n. 332/1928 e </w:t>
        </w:r>
        <w:proofErr w:type="spellStart"/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>s.m.i.</w:t>
        </w:r>
        <w:proofErr w:type="spellEnd"/>
      </w:hyperlink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)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costituiscono un patrimonio di grandissimo rilievo per le Collettività locali, sia sotto il profilo economico-sociale che per gli aspetti di salvaguardia ambientale (valore riconosciuto sistematicamente in giurisprudenza).</w:t>
      </w:r>
    </w:p>
    <w:p w14:paraId="3224EDD5" w14:textId="77777777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 xml:space="preserve">I diritti di uso civico sono inalienabili, indivisibili, inusucapibili e imprescrittibili (artt. 3, comma 3°, della legge n. 168/2017 e 2, 9, 12 della legge n. 1766/1927 e </w:t>
      </w:r>
      <w:proofErr w:type="spellStart"/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s.m.i.</w:t>
      </w:r>
      <w:proofErr w:type="spellEnd"/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). I demani civici sono tutelati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ex lege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con il vincolo paesaggistico (art. 142, comma 1°, lettera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h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, del </w:t>
      </w:r>
      <w:hyperlink r:id="rId12" w:anchor="titolo3" w:tgtFrame="_blank" w:history="1"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 xml:space="preserve">decreto legislativo n. 42/2004 e </w:t>
        </w:r>
        <w:proofErr w:type="spellStart"/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>s.m.i.</w:t>
        </w:r>
        <w:proofErr w:type="spellEnd"/>
      </w:hyperlink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). 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 xml:space="preserve">Ogni atto di disposizione che comporti ablazione o che comunque incida su diritti di uso civico può essere adottato dalla pubblica amministrazione competente soltanto a particolari condizioni, previa autorizzazione regionale e verso corrispettivo di un indennizzo da corrispondere alla collettività titolare del diritto medesimo e destinato a opere permanenti di interesse pubblico generale (artt. 12 della legge n. 1766/1927 e </w:t>
      </w:r>
      <w:proofErr w:type="spellStart"/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s.m.i.</w:t>
      </w:r>
      <w:proofErr w:type="spellEnd"/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).</w:t>
      </w:r>
    </w:p>
    <w:p w14:paraId="4DC4C0EC" w14:textId="77777777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Nel caso di specie, sono </w:t>
      </w: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 xml:space="preserve">i cittadini residenti nei Comuni di Tuscania e di Arlena di Castro sono gli unici titolari dei diritti di uso civico nei rispettivi demani civici (artt. 2, commi 3° e 4°, e 3, commi 1° e 2°, della legge n. 168/2017 e </w:t>
      </w:r>
      <w:proofErr w:type="spellStart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s.m.i.</w:t>
      </w:r>
      <w:proofErr w:type="spellEnd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 xml:space="preserve">):  la presenza di ampie aree ricadenti nei demani civici di </w:t>
      </w: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lastRenderedPageBreak/>
        <w:t>Tuscania e di Arlena di Castro nel sito di progetto della centrale eolica rende impossibile la realizzazione del medesimo per carenza della titolarità giuridica delle aree stesse e per l’illegittimità della relativa radicale modifica territoriale che renderebbe non fruibili i relativi diritti di uso civico: infatti, il regime giuridico dei demani civici prevede la “</w:t>
      </w:r>
      <w:r w:rsidRPr="007C60A5">
        <w:rPr>
          <w:rFonts w:ascii="Arial" w:eastAsia="Times New Roman" w:hAnsi="Arial" w:cs="Arial"/>
          <w:i/>
          <w:iCs/>
          <w:color w:val="222222"/>
          <w:kern w:val="0"/>
          <w:sz w:val="22"/>
          <w:szCs w:val="22"/>
          <w:lang w:eastAsia="it-IT"/>
          <w14:ligatures w14:val="none"/>
        </w:rPr>
        <w:t>perpetua destinazione agro-</w:t>
      </w:r>
      <w:proofErr w:type="spellStart"/>
      <w:r w:rsidRPr="007C60A5">
        <w:rPr>
          <w:rFonts w:ascii="Arial" w:eastAsia="Times New Roman" w:hAnsi="Arial" w:cs="Arial"/>
          <w:i/>
          <w:iCs/>
          <w:color w:val="222222"/>
          <w:kern w:val="0"/>
          <w:sz w:val="22"/>
          <w:szCs w:val="22"/>
          <w:lang w:eastAsia="it-IT"/>
          <w14:ligatures w14:val="none"/>
        </w:rPr>
        <w:t>silvo</w:t>
      </w:r>
      <w:proofErr w:type="spellEnd"/>
      <w:r w:rsidRPr="007C60A5">
        <w:rPr>
          <w:rFonts w:ascii="Arial" w:eastAsia="Times New Roman" w:hAnsi="Arial" w:cs="Arial"/>
          <w:i/>
          <w:iCs/>
          <w:color w:val="222222"/>
          <w:kern w:val="0"/>
          <w:sz w:val="22"/>
          <w:szCs w:val="22"/>
          <w:lang w:eastAsia="it-IT"/>
          <w14:ligatures w14:val="none"/>
        </w:rPr>
        <w:t>-pastorale</w:t>
      </w: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” (art. 3, comma 3°, della legge n. 168/2017), nonché “</w:t>
      </w:r>
      <w:r w:rsidRPr="007C60A5">
        <w:rPr>
          <w:rFonts w:ascii="Arial" w:eastAsia="Times New Roman" w:hAnsi="Arial" w:cs="Arial"/>
          <w:i/>
          <w:iCs/>
          <w:color w:val="222222"/>
          <w:kern w:val="0"/>
          <w:sz w:val="22"/>
          <w:szCs w:val="22"/>
          <w:lang w:eastAsia="it-IT"/>
          <w14:ligatures w14:val="none"/>
        </w:rPr>
        <w:t>l’utilizzazione del demanio civico … in conformità alla sua destinazione e secondo le regole d’uso stabilite dal dominio collettivo</w:t>
      </w: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” (art. 3, comma 5°, della legge n. 168/2017).</w:t>
      </w:r>
    </w:p>
    <w:p w14:paraId="1029EE96" w14:textId="77777777" w:rsidR="007C60A5" w:rsidRPr="007C60A5" w:rsidRDefault="007C60A5" w:rsidP="007C60A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Il </w:t>
      </w:r>
      <w:proofErr w:type="spellStart"/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GrIG</w:t>
      </w:r>
      <w:proofErr w:type="spellEnd"/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ha chiesto al Ministero della Transizione Ecologica la dichiarazione di non compatibilità ambientale del progetto di centrale eolica (</w:t>
      </w:r>
      <w:hyperlink r:id="rId13" w:tgtFrame="_blank" w:history="1"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 xml:space="preserve">artt. 25 e ss. del decreto legislativo n. 152/2006 e </w:t>
        </w:r>
        <w:proofErr w:type="spellStart"/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>s.m.i.</w:t>
        </w:r>
        <w:proofErr w:type="spellEnd"/>
      </w:hyperlink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), informando nel contempo le altre amministrazioni pubbliche competenti e, in particolare, il Commissario per gli Usi Civici per Lazio, Umbria e Toscana, a causa del grave pericolo che corrono le terre collettive.</w:t>
      </w:r>
    </w:p>
    <w:p w14:paraId="33B2A398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 xml:space="preserve">Grazie anche alla ignavia della Regione Lazio e di troppi Enti locali, ormai l’immane </w:t>
      </w:r>
      <w:proofErr w:type="spellStart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marèa</w:t>
      </w:r>
      <w:proofErr w:type="spellEnd"/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 xml:space="preserve"> di progetti di pura speculazione energetica che incombono e in parte sono già stati realizzati rischia di compromettere definitivamente valori storico-culturali, ambientali/paesaggistici della Tuscia, fondamentale identità del territorio e straordinario richiamo turistico ed elemento di equilibrata crescita economico-sociale.</w:t>
      </w:r>
    </w:p>
    <w:p w14:paraId="673AD369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Ormai si tratta di un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autentico</w:t>
      </w:r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</w:t>
      </w:r>
      <w:hyperlink r:id="rId14" w:tgtFrame="_blank" w:history="1">
        <w:r w:rsidRPr="007C60A5">
          <w:rPr>
            <w:rFonts w:ascii="Arial" w:eastAsia="Times New Roman" w:hAnsi="Arial" w:cs="Arial"/>
            <w:i/>
            <w:iCs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>Far West della speculazione energetica</w:t>
        </w:r>
      </w:hyperlink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nella Tuscia.</w:t>
      </w:r>
    </w:p>
    <w:p w14:paraId="56CD5123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Secondo dati non aggiornati,</w:t>
      </w:r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</w:t>
      </w:r>
      <w:hyperlink r:id="rId15" w:tgtFrame="_blank" w:history="1"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>siamo di fronte</w:t>
        </w:r>
      </w:hyperlink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ad almeno ben</w:t>
      </w:r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</w:t>
      </w:r>
      <w:hyperlink r:id="rId16" w:tgtFrame="_blank" w:history="1"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>51 progetti di campi fotovoltaici</w:t>
        </w:r>
      </w:hyperlink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presentati, in parte approvati e solo in minima parte respinti, ormai svariate decine i progetti di centrali eoliche presentati o già in esecuzione: complessivamente circa 7 mila ettari fra aree occupate da impianti realizzati negli ultimi vent’anni, impianti in corso di realizzazione e impianti in corso di istruttoria.</w:t>
      </w:r>
    </w:p>
    <w:p w14:paraId="1DAE9E6F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Terreni talvolta affittati, altre volte espropriati per due soldi, talvolta nei demani civici.</w:t>
      </w:r>
    </w:p>
    <w:p w14:paraId="4F00BF52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Centinaia e centinaia di ettari di terreni agricoli e boscati stravolti dalla speculazione energetica,</w:t>
      </w:r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</w:t>
      </w:r>
      <w:hyperlink r:id="rId17" w:tgtFrame="_blank" w:history="1"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>senza che vi sia</w:t>
        </w:r>
      </w:hyperlink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alcuna assicurazione sulla chiusura di almeno una centrale elettrica alimentata da fonti fossili.</w:t>
      </w:r>
    </w:p>
    <w:p w14:paraId="6AB89310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La realizzazione di questi progetti energetici sta già snaturando radicalmente alcuni dei più pregiati paesaggi agrari della Tuscia con pesanti impatti sull’ambiente e sui contesti economico-sociali locali. Stupisce, infatti, l’assenza di alcuna seria e adeguata analisi preventiva sugli impatti negativi anche sul piano economico-sociale di decine di migliaia di ettari di paesaggio storico della Tuscia sulle attività turistiche.</w:t>
      </w:r>
    </w:p>
    <w:p w14:paraId="45EECAB1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La Provincia di Viterbo negli ultimi anni è sempre stata ai non invidiabili vertici nazionali per il consumo del suolo per abitante</w:t>
      </w:r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(</w:t>
      </w:r>
      <w:hyperlink r:id="rId18" w:tgtFrame="_blank" w:history="1"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>rapporto ISPRA sul consumo del suolo 2019</w:t>
        </w:r>
      </w:hyperlink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), 1,91 metri quadri per residente</w:t>
      </w:r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</w:t>
      </w:r>
      <w:hyperlink r:id="rId19" w:tgtFrame="_blank" w:history="1">
        <w:r w:rsidRPr="007C60A5">
          <w:rPr>
            <w:rFonts w:ascii="Arial" w:eastAsia="Times New Roman" w:hAnsi="Arial" w:cs="Arial"/>
            <w:color w:val="2970A6"/>
            <w:kern w:val="0"/>
            <w:sz w:val="22"/>
            <w:szCs w:val="22"/>
            <w:u w:val="single"/>
            <w:lang w:eastAsia="it-IT"/>
            <w14:ligatures w14:val="none"/>
          </w:rPr>
          <w:t>rispetto alla media</w:t>
        </w:r>
      </w:hyperlink>
      <w:r w:rsidRPr="007C60A5">
        <w:rPr>
          <w:rFonts w:ascii="Arial" w:eastAsia="Times New Roman" w:hAnsi="Arial" w:cs="Arial"/>
          <w:color w:val="555555"/>
          <w:kern w:val="0"/>
          <w:sz w:val="22"/>
          <w:szCs w:val="22"/>
          <w:lang w:eastAsia="it-IT"/>
          <w14:ligatures w14:val="none"/>
        </w:rPr>
        <w:t>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regionale di 0,47 e nazionale di 0,80.</w:t>
      </w:r>
    </w:p>
    <w:p w14:paraId="74E2C822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Consumo del suolo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che va in direzione opposta agli obiettivi tanto decantati della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transizione ecologica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.</w:t>
      </w:r>
    </w:p>
    <w:p w14:paraId="3B24A668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Evidentemente poco importa il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consumo del suolo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, in fondo sono solo pascoli, terreni agricoli,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roba 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così.</w:t>
      </w:r>
    </w:p>
    <w:p w14:paraId="0810A68C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Il </w:t>
      </w:r>
      <w:proofErr w:type="spellStart"/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fldChar w:fldCharType="begin"/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instrText>HYPERLINK "https://gruppodinterventogiuridicoweb.com/2023/04/20/land-grabbing-di-casa-nostra/" \t "_blank"</w:instrTex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fldChar w:fldCharType="separate"/>
      </w:r>
      <w:r w:rsidRPr="007C60A5">
        <w:rPr>
          <w:rFonts w:ascii="Arial" w:eastAsia="Times New Roman" w:hAnsi="Arial" w:cs="Arial"/>
          <w:i/>
          <w:iCs/>
          <w:color w:val="1155CC"/>
          <w:kern w:val="0"/>
          <w:sz w:val="22"/>
          <w:szCs w:val="22"/>
          <w:u w:val="single"/>
          <w:lang w:eastAsia="it-IT"/>
          <w14:ligatures w14:val="none"/>
        </w:rPr>
        <w:t>land</w:t>
      </w:r>
      <w:proofErr w:type="spellEnd"/>
      <w:r w:rsidRPr="007C60A5">
        <w:rPr>
          <w:rFonts w:ascii="Arial" w:eastAsia="Times New Roman" w:hAnsi="Arial" w:cs="Arial"/>
          <w:i/>
          <w:iCs/>
          <w:color w:val="1155CC"/>
          <w:kern w:val="0"/>
          <w:sz w:val="22"/>
          <w:szCs w:val="22"/>
          <w:u w:val="single"/>
          <w:lang w:eastAsia="it-IT"/>
          <w14:ligatures w14:val="none"/>
        </w:rPr>
        <w:t xml:space="preserve"> grabbing</w:t>
      </w:r>
      <w:r w:rsidRPr="007C60A5">
        <w:rPr>
          <w:rFonts w:ascii="Arial" w:eastAsia="Times New Roman" w:hAnsi="Arial" w:cs="Arial"/>
          <w:color w:val="1155CC"/>
          <w:kern w:val="0"/>
          <w:sz w:val="22"/>
          <w:szCs w:val="22"/>
          <w:u w:val="single"/>
          <w:lang w:eastAsia="it-IT"/>
          <w14:ligatures w14:val="none"/>
        </w:rPr>
        <w:t> a Tuscania non è </w:t>
      </w:r>
      <w:r w:rsidRPr="007C60A5">
        <w:rPr>
          <w:rFonts w:ascii="Arial" w:eastAsia="Times New Roman" w:hAnsi="Arial" w:cs="Arial"/>
          <w:i/>
          <w:iCs/>
          <w:color w:val="1155CC"/>
          <w:kern w:val="0"/>
          <w:sz w:val="22"/>
          <w:szCs w:val="22"/>
          <w:u w:val="single"/>
          <w:lang w:eastAsia="it-IT"/>
          <w14:ligatures w14:val="none"/>
        </w:rPr>
        <w:t>cool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fldChar w:fldCharType="end"/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e non interessa...</w:t>
      </w:r>
    </w:p>
    <w:p w14:paraId="01D1F645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Il </w:t>
      </w:r>
      <w:proofErr w:type="spellStart"/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GrIG</w:t>
      </w:r>
      <w:proofErr w:type="spellEnd"/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, insieme ad altre realtà ambientaliste e culturali, si oppone da anni alla </w:t>
      </w:r>
      <w:hyperlink r:id="rId20" w:tgtFrame="_blank" w:history="1"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>speculazione energetica nella Tuscia</w:t>
        </w:r>
      </w:hyperlink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(e non solo) con azioni legali e di sensibilizzazione, </w:t>
      </w:r>
      <w:hyperlink r:id="rId21" w:tgtFrame="_blank" w:history="1"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>ha sostenuto e sostiene</w:t>
        </w:r>
      </w:hyperlink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 qualsiasi </w:t>
      </w:r>
      <w:hyperlink r:id="rId22" w:tgtFrame="_blank" w:history="1"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>iniziativa istituzionale</w:t>
        </w:r>
      </w:hyperlink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 che possa portare a una </w:t>
      </w:r>
      <w:hyperlink r:id="rId23" w:tgtFrame="_blank" w:history="1">
        <w:r w:rsidRPr="007C60A5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it-IT"/>
            <w14:ligatures w14:val="none"/>
          </w:rPr>
          <w:t>migliore tutela</w:t>
        </w:r>
      </w:hyperlink>
      <w:r w:rsidRPr="007C60A5">
        <w:rPr>
          <w:rFonts w:ascii="Arial" w:eastAsia="Times New Roman" w:hAnsi="Arial" w:cs="Arial"/>
          <w:color w:val="222222"/>
          <w:kern w:val="0"/>
          <w:sz w:val="22"/>
          <w:szCs w:val="22"/>
          <w:lang w:eastAsia="it-IT"/>
          <w14:ligatures w14:val="none"/>
        </w:rPr>
        <w:t> di un paesaggio storico-culturale di eccezionale valore, quale quello della Tuscia.</w:t>
      </w:r>
    </w:p>
    <w:p w14:paraId="6EE16B63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Gli impianti produttivi di energia da fonte rinnovabile andrebbero ubicati in aree già degradate, in zone industriali, nonché con l’utilizzo dei tetti e coperture di edifici già esistenti.</w:t>
      </w:r>
    </w:p>
    <w:p w14:paraId="58E1A941" w14:textId="77777777" w:rsidR="007C60A5" w:rsidRPr="007C60A5" w:rsidRDefault="007C60A5" w:rsidP="007C60A5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it-IT"/>
          <w14:ligatures w14:val="none"/>
        </w:rPr>
      </w:pP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Stop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alla speculazione energetica,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stop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al consumo del suolo, </w:t>
      </w:r>
      <w:r w:rsidRPr="007C60A5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it-IT"/>
          <w14:ligatures w14:val="none"/>
        </w:rPr>
        <w:t>stop</w:t>
      </w:r>
      <w:r w:rsidRPr="007C60A5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 alla sottrazione delle terre collettive!</w:t>
      </w:r>
    </w:p>
    <w:p w14:paraId="64270FEF" w14:textId="77777777" w:rsidR="007C60A5" w:rsidRPr="007C60A5" w:rsidRDefault="007C60A5" w:rsidP="007C60A5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0F048422" w14:textId="77777777" w:rsidR="00A32DC4" w:rsidRDefault="00000000"/>
    <w:sectPr w:rsidR="00A32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A5"/>
    <w:rsid w:val="00157293"/>
    <w:rsid w:val="002D79C4"/>
    <w:rsid w:val="007C60A5"/>
    <w:rsid w:val="007E637F"/>
    <w:rsid w:val="00A84B59"/>
    <w:rsid w:val="00C6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FABEC"/>
  <w15:chartTrackingRefBased/>
  <w15:docId w15:val="{FC2AD9CC-9912-454A-A5CD-74D0D6D8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7C60A5"/>
  </w:style>
  <w:style w:type="character" w:styleId="Collegamentoipertestuale">
    <w:name w:val="Hyperlink"/>
    <w:basedOn w:val="Carpredefinitoparagrafo"/>
    <w:uiPriority w:val="99"/>
    <w:semiHidden/>
    <w:unhideWhenUsed/>
    <w:rsid w:val="007C60A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C6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ge:2023-02-24;13" TargetMode="External"/><Relationship Id="rId13" Type="http://schemas.openxmlformats.org/officeDocument/2006/relationships/hyperlink" Target="https://www.bosettiegatti.eu/info/norme/statali/2006_0152.htm" TargetMode="External"/><Relationship Id="rId18" Type="http://schemas.openxmlformats.org/officeDocument/2006/relationships/hyperlink" Target="http://www.isprambiente.gov.it/files2019/area-stampa/comunicati-stampa/Lazi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ruppodinterventogiuridicoweb.com/2022/05/27/per-una-maggiore-tutela-della-tuscia-no-alla-speculazione-energetica/" TargetMode="External"/><Relationship Id="rId7" Type="http://schemas.openxmlformats.org/officeDocument/2006/relationships/hyperlink" Target="https://www.normattiva.it/uri-res/N2Ls?urn:nir:stato:decreto.legislativo:2006-04-03;152" TargetMode="External"/><Relationship Id="rId12" Type="http://schemas.openxmlformats.org/officeDocument/2006/relationships/hyperlink" Target="https://www.altalex.com/documents/news/2014/11/20/codice-dei-beni-culturali-e-dell-ambiente-parte-iii-beni-paesaggistici" TargetMode="External"/><Relationship Id="rId17" Type="http://schemas.openxmlformats.org/officeDocument/2006/relationships/hyperlink" Target="https://gruppodinterventogiuridicoweb.com/2021/04/23/sospesa-la-procedura-finalizzata-al-rilascio-della-concessione-demaniale-marittima-per-la-centrale-eolica-off-shore-al-largo-della-sardegn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/d/u/0/viewer?mid=1_oHICGupR6Av1Y52rKS2r7_QrPGbLtuL&amp;shorturl=1&amp;ll=42.29780200328826%2C12.258359699999994&amp;z=9" TargetMode="External"/><Relationship Id="rId20" Type="http://schemas.openxmlformats.org/officeDocument/2006/relationships/hyperlink" Target="https://gruppodinterventogiuridicoweb.com/?s=+tuscia" TargetMode="External"/><Relationship Id="rId1" Type="http://schemas.openxmlformats.org/officeDocument/2006/relationships/styles" Target="styles.xml"/><Relationship Id="rId6" Type="http://schemas.openxmlformats.org/officeDocument/2006/relationships/hyperlink" Target="https://gruppodinterventogiuridicoweb.com/2020/10/04/no-e-ancora-no-allo-scempio-della-tuscia/" TargetMode="External"/><Relationship Id="rId11" Type="http://schemas.openxmlformats.org/officeDocument/2006/relationships/hyperlink" Target="http://www.demaniocivico.it/public/public/article/794/RD_332_1928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a.minambiente.it/it-IT/Oggetti/Info/7528" TargetMode="External"/><Relationship Id="rId15" Type="http://schemas.openxmlformats.org/officeDocument/2006/relationships/hyperlink" Target="https://gruppodinterventogiuridicoweb.com/2022/11/09/fermiamo-lennesimo-scempio-annunciato-della-tuscia/" TargetMode="External"/><Relationship Id="rId23" Type="http://schemas.openxmlformats.org/officeDocument/2006/relationships/hyperlink" Target="https://gruppodinterventogiuridicoweb.com/2022/06/03/il-vincolo-paesaggistico-della-tuscia-strumento-valido-per-evitare-dannoso-consumo-di-suolo-agricolo/" TargetMode="External"/><Relationship Id="rId10" Type="http://schemas.openxmlformats.org/officeDocument/2006/relationships/hyperlink" Target="http://www.demaniocivico.it/attachments/article/1755/legge%20sui%20domini%20collettivi.pdf" TargetMode="External"/><Relationship Id="rId19" Type="http://schemas.openxmlformats.org/officeDocument/2006/relationships/hyperlink" Target="http://www.tusciaweb.eu/2019/09/la-tuscia-piu-alto-consumo-suolo-pro-capite-della-regione-lazio/" TargetMode="External"/><Relationship Id="rId4" Type="http://schemas.openxmlformats.org/officeDocument/2006/relationships/hyperlink" Target="https://va.minambiente.it/it-IT/ps/Comunicazione/IndicazioniOperativeVIA" TargetMode="External"/><Relationship Id="rId9" Type="http://schemas.openxmlformats.org/officeDocument/2006/relationships/hyperlink" Target="http://www.provinz.bz.it/agricoltura/download/Legge_1766-1927.pdf" TargetMode="External"/><Relationship Id="rId14" Type="http://schemas.openxmlformats.org/officeDocument/2006/relationships/hyperlink" Target="https://gruppodinterventogiuridicoweb.com/Users/delip/AppData/Roaming/Microsoft/Word/secondo%20dati%20non%20aggiornati,%20siamo%20di%20fronte%20a%20ben%2051%20progetti%20di%20campi%20fotovoltaici%20presentati,%20in%20parte%20approvati%20e%20solo%20in%20minima%20parte%20respinti%20in%20pochi%20anni,%20complessivamente%20oltre%202.100%20ettari%20di%20terreni%20agricoli%20e%20boschi." TargetMode="External"/><Relationship Id="rId22" Type="http://schemas.openxmlformats.org/officeDocument/2006/relationships/hyperlink" Target="https://gruppodinterventogiuridicoweb.com/2023/02/08/ora-e-possibile-una-migliore-tutela-della-tuscia-no-alla-speculazione-energet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Fiasco</dc:creator>
  <cp:keywords/>
  <dc:description/>
  <cp:lastModifiedBy>Edoardo Limone</cp:lastModifiedBy>
  <cp:revision>2</cp:revision>
  <dcterms:created xsi:type="dcterms:W3CDTF">2023-05-28T16:11:00Z</dcterms:created>
  <dcterms:modified xsi:type="dcterms:W3CDTF">2023-05-28T18:28:00Z</dcterms:modified>
</cp:coreProperties>
</file>